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SEBI</w:t>
            </w:r>
          </w:p>
          <w:p w:rsidR="00CE6909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E6909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Other</w:t>
            </w:r>
          </w:p>
          <w:p w:rsidR="00CE6909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Grand</w:t>
            </w:r>
          </w:p>
          <w:p w:rsidR="00CE6909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SEBI</w:t>
            </w:r>
          </w:p>
          <w:p w:rsidR="00736B36" w:rsidRDefault="00736B36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8E0C53" w:rsidRDefault="008E0C53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Other</w:t>
            </w:r>
          </w:p>
          <w:p w:rsidR="00736B36" w:rsidRDefault="00736B36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Grand</w:t>
            </w:r>
          </w:p>
          <w:p w:rsidR="00736B36" w:rsidRDefault="00736B36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SEBI</w:t>
            </w:r>
          </w:p>
          <w:p w:rsidR="00F61934" w:rsidRDefault="00F6193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61934" w:rsidRDefault="00F6193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Other</w:t>
            </w:r>
          </w:p>
          <w:p w:rsidR="00F61934" w:rsidRDefault="00F6193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Grand</w:t>
            </w:r>
          </w:p>
          <w:p w:rsidR="00F61934" w:rsidRDefault="00F6193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SEBI</w:t>
            </w:r>
          </w:p>
          <w:p w:rsidR="005C0D47" w:rsidRDefault="005C0D4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5C0D47" w:rsidRDefault="005C0D4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Other</w:t>
            </w:r>
          </w:p>
          <w:p w:rsidR="005C0D47" w:rsidRDefault="005C0D4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Grand</w:t>
            </w:r>
          </w:p>
          <w:p w:rsidR="005C0D47" w:rsidRDefault="005C0D4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SEBI</w:t>
            </w:r>
          </w:p>
          <w:p w:rsidR="00FD3C57" w:rsidRDefault="00FD3C5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D3C57" w:rsidRDefault="00FD3C5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Other</w:t>
            </w:r>
          </w:p>
          <w:p w:rsidR="00FD3C57" w:rsidRDefault="00FD3C5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Grand</w:t>
            </w:r>
          </w:p>
          <w:p w:rsidR="00FD3C57" w:rsidRDefault="00FD3C5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B52044" w:rsidRDefault="00B52044" w:rsidP="00B5204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December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B52044" w:rsidTr="003D48D1">
        <w:trPr>
          <w:trHeight w:val="182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B52044" w:rsidTr="003D48D1">
        <w:trPr>
          <w:trHeight w:val="1826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</w:p>
        </w:tc>
      </w:tr>
      <w:tr w:rsidR="00B52044" w:rsidTr="003D48D1">
        <w:trPr>
          <w:trHeight w:val="30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8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B52044" w:rsidRDefault="00B5204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3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SEBI</w:t>
            </w:r>
          </w:p>
          <w:p w:rsidR="00B52044" w:rsidRDefault="00B5204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1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B52044" w:rsidRDefault="00B5204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Other</w:t>
            </w:r>
          </w:p>
          <w:p w:rsidR="00B52044" w:rsidRDefault="00B5204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6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Grand</w:t>
            </w:r>
          </w:p>
          <w:p w:rsidR="00B52044" w:rsidRDefault="00B5204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B52044" w:rsidRDefault="0003437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A1765D" w:rsidRDefault="00A1765D" w:rsidP="00A1765D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January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1765D" w:rsidTr="00123FF8">
        <w:trPr>
          <w:trHeight w:val="182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1765D" w:rsidTr="00123FF8">
        <w:trPr>
          <w:trHeight w:val="1826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</w:p>
        </w:tc>
      </w:tr>
      <w:tr w:rsidR="00A1765D" w:rsidTr="00123FF8">
        <w:trPr>
          <w:trHeight w:val="30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8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1765D" w:rsidRDefault="00A1765D" w:rsidP="00123F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3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SEBI</w:t>
            </w:r>
          </w:p>
          <w:p w:rsidR="00A1765D" w:rsidRDefault="00A1765D" w:rsidP="00123F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1"/>
        </w:trPr>
        <w:tc>
          <w:tcPr>
            <w:tcW w:w="499" w:type="dxa"/>
          </w:tcPr>
          <w:p w:rsidR="00A1765D" w:rsidRDefault="00A1765D" w:rsidP="00A1765D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1765D" w:rsidRDefault="00A1765D" w:rsidP="00A1765D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1765D" w:rsidRDefault="00A1765D" w:rsidP="00A1765D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Other</w:t>
            </w:r>
          </w:p>
          <w:p w:rsidR="00A1765D" w:rsidRDefault="00A1765D" w:rsidP="00123F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6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Grand</w:t>
            </w:r>
          </w:p>
          <w:p w:rsidR="00A1765D" w:rsidRDefault="00A1765D" w:rsidP="00123F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F13867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4B3B6F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1765D" w:rsidRDefault="00A1765D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 w:rsidP="00035D1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035D16" w:rsidTr="0063624E">
        <w:trPr>
          <w:trHeight w:val="182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035D16" w:rsidTr="0063624E">
        <w:trPr>
          <w:trHeight w:val="1826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</w:p>
        </w:tc>
      </w:tr>
      <w:tr w:rsidR="00035D16" w:rsidTr="0063624E">
        <w:trPr>
          <w:trHeight w:val="30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8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035D16" w:rsidRDefault="00035D16" w:rsidP="0063624E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3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SEBI</w:t>
            </w:r>
          </w:p>
          <w:p w:rsidR="00035D16" w:rsidRDefault="00035D16" w:rsidP="0063624E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1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035D16" w:rsidRDefault="00035D16" w:rsidP="0063624E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Other</w:t>
            </w:r>
          </w:p>
          <w:p w:rsidR="00035D16" w:rsidRDefault="00035D16" w:rsidP="0063624E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6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Grand</w:t>
            </w:r>
          </w:p>
          <w:p w:rsidR="00035D16" w:rsidRDefault="00035D16" w:rsidP="0063624E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C74A97" w:rsidRDefault="00C74A97" w:rsidP="00C74A9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74A97" w:rsidTr="00F35B35">
        <w:trPr>
          <w:trHeight w:val="1824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74A97" w:rsidTr="00F35B35">
        <w:trPr>
          <w:trHeight w:val="1826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74A97" w:rsidRDefault="00C74A97" w:rsidP="00F35B35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74A97" w:rsidRDefault="00C74A97" w:rsidP="00F35B35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74A97" w:rsidRDefault="00C74A97" w:rsidP="00F35B35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</w:p>
        </w:tc>
      </w:tr>
      <w:tr w:rsidR="00C74A97" w:rsidTr="00F35B35">
        <w:trPr>
          <w:trHeight w:val="304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  <w:r>
              <w:t>8</w:t>
            </w:r>
          </w:p>
        </w:tc>
      </w:tr>
      <w:tr w:rsidR="00C74A97" w:rsidTr="00F35B35">
        <w:trPr>
          <w:trHeight w:val="9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74A97" w:rsidRDefault="00C74A97" w:rsidP="00F35B35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13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SEBI</w:t>
            </w:r>
          </w:p>
          <w:p w:rsidR="00C74A97" w:rsidRDefault="00C74A97" w:rsidP="00F35B35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11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74A97" w:rsidRDefault="00C74A97" w:rsidP="00F35B35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Other</w:t>
            </w:r>
          </w:p>
          <w:p w:rsidR="00C74A97" w:rsidRDefault="00C74A97" w:rsidP="00F35B35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6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Grand</w:t>
            </w:r>
          </w:p>
          <w:p w:rsidR="00C74A97" w:rsidRDefault="00C74A97" w:rsidP="00F35B35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 w:rsidP="00F87F01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87F01" w:rsidTr="00D402B9">
        <w:trPr>
          <w:trHeight w:val="1824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87F01" w:rsidTr="00D402B9">
        <w:trPr>
          <w:trHeight w:val="1826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87F01" w:rsidRDefault="00F87F01" w:rsidP="00D402B9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87F01" w:rsidRDefault="00F87F01" w:rsidP="00D402B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87F01" w:rsidRDefault="00F87F01" w:rsidP="00D402B9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</w:p>
        </w:tc>
      </w:tr>
      <w:tr w:rsidR="00F87F01" w:rsidTr="00D402B9">
        <w:trPr>
          <w:trHeight w:val="304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  <w:r>
              <w:t>8</w:t>
            </w:r>
          </w:p>
        </w:tc>
      </w:tr>
      <w:tr w:rsidR="00F87F01" w:rsidTr="00D402B9">
        <w:trPr>
          <w:trHeight w:val="9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87F01" w:rsidRDefault="00F87F01" w:rsidP="00D402B9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13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SEBI</w:t>
            </w:r>
          </w:p>
          <w:p w:rsidR="00F87F01" w:rsidRDefault="00F87F01" w:rsidP="00D402B9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11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87F01" w:rsidRDefault="00F87F01" w:rsidP="00D402B9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Other</w:t>
            </w:r>
          </w:p>
          <w:p w:rsidR="00F87F01" w:rsidRDefault="00F87F01" w:rsidP="00D402B9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6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Grand</w:t>
            </w:r>
          </w:p>
          <w:p w:rsidR="00F87F01" w:rsidRDefault="00F87F01" w:rsidP="00D402B9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87F01" w:rsidRDefault="00F87F01" w:rsidP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 w:rsidP="00C55ED5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55ED5" w:rsidTr="00C50C6B">
        <w:trPr>
          <w:trHeight w:val="1824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55ED5" w:rsidTr="00C50C6B">
        <w:trPr>
          <w:trHeight w:val="1826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55ED5" w:rsidRDefault="00C55ED5" w:rsidP="00C50C6B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55ED5" w:rsidRDefault="00C55ED5" w:rsidP="00C50C6B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55ED5" w:rsidRDefault="00C55ED5" w:rsidP="00C50C6B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</w:pPr>
          </w:p>
        </w:tc>
      </w:tr>
      <w:tr w:rsidR="00C55ED5" w:rsidTr="00C50C6B">
        <w:trPr>
          <w:trHeight w:val="304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</w:pPr>
            <w:r>
              <w:t>8</w:t>
            </w:r>
          </w:p>
        </w:tc>
      </w:tr>
      <w:tr w:rsidR="00C55ED5" w:rsidTr="00C50C6B">
        <w:trPr>
          <w:trHeight w:val="909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55ED5" w:rsidRDefault="00C55ED5" w:rsidP="00C50C6B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913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SEBI</w:t>
            </w:r>
          </w:p>
          <w:p w:rsidR="00C55ED5" w:rsidRDefault="00C55ED5" w:rsidP="00C50C6B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911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55ED5" w:rsidRDefault="00C55ED5" w:rsidP="00C50C6B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909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Other</w:t>
            </w:r>
          </w:p>
          <w:p w:rsidR="00C55ED5" w:rsidRDefault="00C55ED5" w:rsidP="00C50C6B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609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Grand</w:t>
            </w:r>
          </w:p>
          <w:p w:rsidR="00C55ED5" w:rsidRDefault="00C55ED5" w:rsidP="00C50C6B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FF21A6" w:rsidRDefault="00FF21A6">
      <w:pPr>
        <w:spacing w:before="225"/>
        <w:ind w:left="260"/>
        <w:rPr>
          <w:b/>
          <w:sz w:val="23"/>
          <w:u w:val="thick"/>
        </w:rPr>
      </w:pPr>
    </w:p>
    <w:p w:rsidR="00FF21A6" w:rsidRDefault="00FF21A6">
      <w:pPr>
        <w:spacing w:before="225"/>
        <w:ind w:left="260"/>
        <w:rPr>
          <w:b/>
          <w:sz w:val="23"/>
          <w:u w:val="thick"/>
        </w:rPr>
      </w:pPr>
    </w:p>
    <w:p w:rsidR="00FF21A6" w:rsidRDefault="00FF21A6">
      <w:pPr>
        <w:spacing w:before="225"/>
        <w:ind w:left="260"/>
        <w:rPr>
          <w:b/>
          <w:sz w:val="23"/>
          <w:u w:val="thick"/>
        </w:rPr>
      </w:pPr>
    </w:p>
    <w:p w:rsidR="00FF21A6" w:rsidRDefault="00FF21A6">
      <w:pPr>
        <w:spacing w:before="225"/>
        <w:ind w:left="260"/>
        <w:rPr>
          <w:b/>
          <w:sz w:val="23"/>
          <w:u w:val="thick"/>
        </w:rPr>
      </w:pPr>
    </w:p>
    <w:p w:rsidR="00FF21A6" w:rsidRDefault="00FF21A6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FF21A6" w:rsidRDefault="00FF21A6" w:rsidP="00FF21A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June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F21A6" w:rsidTr="00903C0E">
        <w:trPr>
          <w:trHeight w:val="1824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F21A6" w:rsidTr="00903C0E">
        <w:trPr>
          <w:trHeight w:val="1826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</w:pP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</w:pP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</w:pP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F21A6" w:rsidRDefault="00FF21A6" w:rsidP="00903C0E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F21A6" w:rsidRDefault="00FF21A6" w:rsidP="00903C0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F21A6" w:rsidRDefault="00FF21A6" w:rsidP="00903C0E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</w:pPr>
          </w:p>
        </w:tc>
      </w:tr>
      <w:tr w:rsidR="00FF21A6" w:rsidTr="00903C0E">
        <w:trPr>
          <w:trHeight w:val="304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</w:pPr>
            <w:r>
              <w:t>8</w:t>
            </w:r>
          </w:p>
        </w:tc>
      </w:tr>
      <w:tr w:rsidR="00FF21A6" w:rsidTr="00903C0E">
        <w:trPr>
          <w:trHeight w:val="909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F21A6" w:rsidRDefault="00FF21A6" w:rsidP="00903C0E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F21A6" w:rsidTr="00903C0E">
        <w:trPr>
          <w:trHeight w:val="913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SEBI</w:t>
            </w:r>
          </w:p>
          <w:p w:rsidR="00FF21A6" w:rsidRDefault="00FF21A6" w:rsidP="00903C0E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F21A6" w:rsidTr="00903C0E">
        <w:trPr>
          <w:trHeight w:val="911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F21A6" w:rsidRDefault="00FF21A6" w:rsidP="00903C0E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F21A6" w:rsidTr="00903C0E">
        <w:trPr>
          <w:trHeight w:val="909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Other</w:t>
            </w:r>
          </w:p>
          <w:p w:rsidR="00FF21A6" w:rsidRDefault="00FF21A6" w:rsidP="00903C0E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F21A6" w:rsidTr="00903C0E">
        <w:trPr>
          <w:trHeight w:val="609"/>
        </w:trPr>
        <w:tc>
          <w:tcPr>
            <w:tcW w:w="499" w:type="dxa"/>
          </w:tcPr>
          <w:p w:rsidR="00FF21A6" w:rsidRDefault="00FF21A6" w:rsidP="00903C0E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F21A6" w:rsidRDefault="00FF21A6" w:rsidP="00903C0E">
            <w:pPr>
              <w:pStyle w:val="TableParagraph"/>
            </w:pPr>
            <w:r>
              <w:t>Grand</w:t>
            </w:r>
          </w:p>
          <w:p w:rsidR="00FF21A6" w:rsidRDefault="00FF21A6" w:rsidP="00903C0E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F21A6" w:rsidRDefault="00FF21A6" w:rsidP="00903C0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B705F7" w:rsidRDefault="00B705F7">
      <w:pPr>
        <w:spacing w:before="225"/>
        <w:ind w:left="260"/>
        <w:rPr>
          <w:b/>
          <w:sz w:val="23"/>
          <w:u w:val="thick"/>
        </w:rPr>
      </w:pPr>
    </w:p>
    <w:p w:rsidR="00B705F7" w:rsidRDefault="00B705F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DB6E9D" w:rsidRDefault="00DB6E9D">
      <w:pPr>
        <w:spacing w:before="225"/>
        <w:ind w:left="260"/>
        <w:rPr>
          <w:b/>
          <w:sz w:val="23"/>
          <w:u w:val="thick"/>
        </w:rPr>
      </w:pPr>
    </w:p>
    <w:p w:rsidR="00936203" w:rsidRDefault="00936203">
      <w:pPr>
        <w:spacing w:before="225"/>
        <w:ind w:left="260"/>
        <w:rPr>
          <w:b/>
          <w:sz w:val="23"/>
          <w:u w:val="thick"/>
        </w:rPr>
      </w:pPr>
    </w:p>
    <w:p w:rsidR="00936203" w:rsidRDefault="00936203">
      <w:pPr>
        <w:spacing w:before="225"/>
        <w:ind w:left="260"/>
        <w:rPr>
          <w:b/>
          <w:sz w:val="23"/>
          <w:u w:val="thick"/>
        </w:rPr>
      </w:pPr>
    </w:p>
    <w:p w:rsidR="00936203" w:rsidRDefault="00936203">
      <w:pPr>
        <w:spacing w:before="225"/>
        <w:ind w:left="260"/>
        <w:rPr>
          <w:b/>
          <w:sz w:val="23"/>
          <w:u w:val="thick"/>
        </w:rPr>
      </w:pPr>
    </w:p>
    <w:p w:rsidR="00936203" w:rsidRDefault="00936203">
      <w:pPr>
        <w:spacing w:before="225"/>
        <w:ind w:left="260"/>
        <w:rPr>
          <w:b/>
          <w:sz w:val="23"/>
          <w:u w:val="thick"/>
        </w:rPr>
      </w:pPr>
    </w:p>
    <w:p w:rsidR="00936203" w:rsidRDefault="00936203">
      <w:pPr>
        <w:spacing w:before="225"/>
        <w:ind w:left="260"/>
        <w:rPr>
          <w:b/>
          <w:sz w:val="23"/>
          <w:u w:val="thick"/>
        </w:rPr>
      </w:pPr>
      <w:bookmarkStart w:id="0" w:name="_GoBack"/>
      <w:bookmarkEnd w:id="0"/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E749F8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6070E1" w:rsidP="006070E1">
            <w:pPr>
              <w:pStyle w:val="TableParagraph"/>
              <w:jc w:val="left"/>
            </w:pPr>
            <w:r>
              <w:t xml:space="preserve">  </w:t>
            </w:r>
            <w:r w:rsidR="00CE6909">
              <w:t>38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E749F8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E749F8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</w:tr>
      <w:tr w:rsidR="00E749F8">
        <w:trPr>
          <w:trHeight w:val="304"/>
        </w:trPr>
        <w:tc>
          <w:tcPr>
            <w:tcW w:w="674" w:type="dxa"/>
          </w:tcPr>
          <w:p w:rsidR="00E749F8" w:rsidRDefault="00E749F8" w:rsidP="00E749F8">
            <w:pPr>
              <w:pStyle w:val="TableParagraph"/>
            </w:pPr>
            <w:r>
              <w:t>56</w:t>
            </w:r>
          </w:p>
        </w:tc>
        <w:tc>
          <w:tcPr>
            <w:tcW w:w="2105" w:type="dxa"/>
          </w:tcPr>
          <w:p w:rsidR="00E749F8" w:rsidRDefault="00E749F8" w:rsidP="00E749F8">
            <w:pPr>
              <w:pStyle w:val="TableParagraph"/>
            </w:pPr>
            <w:r>
              <w:t>December 2025</w:t>
            </w:r>
          </w:p>
        </w:tc>
        <w:tc>
          <w:tcPr>
            <w:tcW w:w="2071" w:type="dxa"/>
          </w:tcPr>
          <w:p w:rsidR="00E749F8" w:rsidRDefault="00E749F8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E749F8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</w:tr>
      <w:tr w:rsidR="005B0C3D">
        <w:trPr>
          <w:trHeight w:val="304"/>
        </w:trPr>
        <w:tc>
          <w:tcPr>
            <w:tcW w:w="674" w:type="dxa"/>
          </w:tcPr>
          <w:p w:rsidR="005B0C3D" w:rsidRDefault="005B0C3D" w:rsidP="00E749F8">
            <w:pPr>
              <w:pStyle w:val="TableParagraph"/>
            </w:pPr>
            <w:r>
              <w:t>57</w:t>
            </w:r>
          </w:p>
        </w:tc>
        <w:tc>
          <w:tcPr>
            <w:tcW w:w="2105" w:type="dxa"/>
          </w:tcPr>
          <w:p w:rsidR="005B0C3D" w:rsidRDefault="005B0C3D" w:rsidP="00E749F8">
            <w:pPr>
              <w:pStyle w:val="TableParagraph"/>
            </w:pPr>
            <w:r>
              <w:t>January 2026</w:t>
            </w:r>
          </w:p>
        </w:tc>
        <w:tc>
          <w:tcPr>
            <w:tcW w:w="2071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</w:tr>
      <w:tr w:rsidR="006636D7">
        <w:trPr>
          <w:trHeight w:val="304"/>
        </w:trPr>
        <w:tc>
          <w:tcPr>
            <w:tcW w:w="674" w:type="dxa"/>
          </w:tcPr>
          <w:p w:rsidR="006636D7" w:rsidRDefault="006636D7" w:rsidP="00E749F8">
            <w:pPr>
              <w:pStyle w:val="TableParagraph"/>
            </w:pPr>
            <w:r>
              <w:t>58</w:t>
            </w:r>
          </w:p>
        </w:tc>
        <w:tc>
          <w:tcPr>
            <w:tcW w:w="2105" w:type="dxa"/>
          </w:tcPr>
          <w:p w:rsidR="006636D7" w:rsidRDefault="006636D7" w:rsidP="00E749F8">
            <w:pPr>
              <w:pStyle w:val="TableParagraph"/>
            </w:pPr>
            <w:r>
              <w:t>February 2026</w:t>
            </w:r>
          </w:p>
        </w:tc>
        <w:tc>
          <w:tcPr>
            <w:tcW w:w="2071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</w:tr>
      <w:tr w:rsidR="00DB6E9D">
        <w:trPr>
          <w:trHeight w:val="304"/>
        </w:trPr>
        <w:tc>
          <w:tcPr>
            <w:tcW w:w="674" w:type="dxa"/>
          </w:tcPr>
          <w:p w:rsidR="00DB6E9D" w:rsidRDefault="00DB6E9D" w:rsidP="00DB6E9D">
            <w:pPr>
              <w:pStyle w:val="TableParagraph"/>
            </w:pPr>
            <w:r>
              <w:t>59</w:t>
            </w:r>
          </w:p>
        </w:tc>
        <w:tc>
          <w:tcPr>
            <w:tcW w:w="2105" w:type="dxa"/>
          </w:tcPr>
          <w:p w:rsidR="00DB6E9D" w:rsidRDefault="00DB6E9D" w:rsidP="00DB6E9D">
            <w:pPr>
              <w:pStyle w:val="TableParagraph"/>
            </w:pPr>
            <w:r>
              <w:t>March 202</w:t>
            </w:r>
            <w:r w:rsidR="008C7675">
              <w:t>6</w:t>
            </w:r>
          </w:p>
        </w:tc>
        <w:tc>
          <w:tcPr>
            <w:tcW w:w="2071" w:type="dxa"/>
          </w:tcPr>
          <w:p w:rsidR="00DB6E9D" w:rsidRDefault="00DB6E9D" w:rsidP="00DB6E9D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DB6E9D" w:rsidRDefault="00DB6E9D" w:rsidP="00DB6E9D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DB6E9D" w:rsidRDefault="00DB6E9D" w:rsidP="00DB6E9D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DB6E9D" w:rsidRDefault="00DB6E9D" w:rsidP="00DB6E9D">
            <w:pPr>
              <w:pStyle w:val="TableParagraph"/>
            </w:pPr>
            <w:r>
              <w:t>ONE</w:t>
            </w:r>
          </w:p>
        </w:tc>
      </w:tr>
      <w:tr w:rsidR="008C7675">
        <w:trPr>
          <w:trHeight w:val="304"/>
        </w:trPr>
        <w:tc>
          <w:tcPr>
            <w:tcW w:w="674" w:type="dxa"/>
          </w:tcPr>
          <w:p w:rsidR="008C7675" w:rsidRDefault="008C7675" w:rsidP="008C7675">
            <w:pPr>
              <w:pStyle w:val="TableParagraph"/>
            </w:pPr>
            <w:r>
              <w:t>60</w:t>
            </w:r>
          </w:p>
        </w:tc>
        <w:tc>
          <w:tcPr>
            <w:tcW w:w="2105" w:type="dxa"/>
          </w:tcPr>
          <w:p w:rsidR="008C7675" w:rsidRDefault="008C7675" w:rsidP="008C7675">
            <w:pPr>
              <w:pStyle w:val="TableParagraph"/>
            </w:pPr>
            <w:r>
              <w:t>April 2026</w:t>
            </w:r>
          </w:p>
        </w:tc>
        <w:tc>
          <w:tcPr>
            <w:tcW w:w="2071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</w:tr>
      <w:tr w:rsidR="00B371C8">
        <w:trPr>
          <w:trHeight w:val="304"/>
        </w:trPr>
        <w:tc>
          <w:tcPr>
            <w:tcW w:w="674" w:type="dxa"/>
          </w:tcPr>
          <w:p w:rsidR="00B371C8" w:rsidRDefault="00B371C8" w:rsidP="00B371C8">
            <w:pPr>
              <w:pStyle w:val="TableParagraph"/>
            </w:pPr>
            <w:r>
              <w:t>61</w:t>
            </w:r>
          </w:p>
        </w:tc>
        <w:tc>
          <w:tcPr>
            <w:tcW w:w="2105" w:type="dxa"/>
          </w:tcPr>
          <w:p w:rsidR="00B371C8" w:rsidRDefault="00B371C8" w:rsidP="00B371C8">
            <w:pPr>
              <w:pStyle w:val="TableParagraph"/>
            </w:pPr>
            <w:r>
              <w:t>May 2026</w:t>
            </w:r>
          </w:p>
        </w:tc>
        <w:tc>
          <w:tcPr>
            <w:tcW w:w="2071" w:type="dxa"/>
          </w:tcPr>
          <w:p w:rsidR="00B371C8" w:rsidRDefault="00B371C8" w:rsidP="00B371C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B371C8" w:rsidRDefault="00B371C8" w:rsidP="00B371C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B371C8" w:rsidRDefault="00B371C8" w:rsidP="00B371C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B371C8" w:rsidRDefault="00B371C8" w:rsidP="00B371C8">
            <w:pPr>
              <w:pStyle w:val="TableParagraph"/>
            </w:pPr>
            <w:r>
              <w:t>ONE</w:t>
            </w:r>
          </w:p>
        </w:tc>
      </w:tr>
      <w:tr w:rsidR="00496593">
        <w:trPr>
          <w:trHeight w:val="304"/>
        </w:trPr>
        <w:tc>
          <w:tcPr>
            <w:tcW w:w="674" w:type="dxa"/>
          </w:tcPr>
          <w:p w:rsidR="00496593" w:rsidRDefault="00496593" w:rsidP="00496593">
            <w:pPr>
              <w:pStyle w:val="TableParagraph"/>
            </w:pPr>
            <w:r>
              <w:t>61</w:t>
            </w:r>
          </w:p>
        </w:tc>
        <w:tc>
          <w:tcPr>
            <w:tcW w:w="2105" w:type="dxa"/>
          </w:tcPr>
          <w:p w:rsidR="00496593" w:rsidRDefault="00496593" w:rsidP="00496593">
            <w:pPr>
              <w:pStyle w:val="TableParagraph"/>
            </w:pPr>
            <w:r>
              <w:t>June 2026</w:t>
            </w:r>
          </w:p>
        </w:tc>
        <w:tc>
          <w:tcPr>
            <w:tcW w:w="2071" w:type="dxa"/>
          </w:tcPr>
          <w:p w:rsidR="00496593" w:rsidRDefault="00496593" w:rsidP="00496593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496593" w:rsidRDefault="00496593" w:rsidP="00496593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496593" w:rsidRDefault="00496593" w:rsidP="00496593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496593" w:rsidRDefault="00496593" w:rsidP="00496593">
            <w:pPr>
              <w:pStyle w:val="TableParagraph"/>
            </w:pPr>
            <w:r>
              <w:t>ONE</w:t>
            </w:r>
          </w:p>
        </w:tc>
      </w:tr>
      <w:tr w:rsidR="00496593">
        <w:trPr>
          <w:trHeight w:val="304"/>
        </w:trPr>
        <w:tc>
          <w:tcPr>
            <w:tcW w:w="674" w:type="dxa"/>
          </w:tcPr>
          <w:p w:rsidR="00496593" w:rsidRDefault="00496593" w:rsidP="00496593">
            <w:pPr>
              <w:pStyle w:val="TableParagraph"/>
            </w:pPr>
          </w:p>
        </w:tc>
        <w:tc>
          <w:tcPr>
            <w:tcW w:w="2105" w:type="dxa"/>
          </w:tcPr>
          <w:p w:rsidR="00496593" w:rsidRDefault="00496593" w:rsidP="00496593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496593" w:rsidRDefault="00496593" w:rsidP="00496593">
            <w:pPr>
              <w:pStyle w:val="TableParagraph"/>
              <w:rPr>
                <w:lang w:val="en-IN"/>
              </w:rPr>
            </w:pPr>
            <w:r>
              <w:t>ONE</w:t>
            </w:r>
          </w:p>
        </w:tc>
        <w:tc>
          <w:tcPr>
            <w:tcW w:w="1363" w:type="dxa"/>
          </w:tcPr>
          <w:p w:rsidR="00496593" w:rsidRDefault="00496593" w:rsidP="00496593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496593" w:rsidRDefault="00496593" w:rsidP="00496593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496593" w:rsidRDefault="00496593" w:rsidP="00496593">
            <w:pPr>
              <w:pStyle w:val="TableParagraph"/>
            </w:pPr>
            <w:r>
              <w:t>ONE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E749F8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</w:pPr>
            <w:r>
              <w:t>Resolved</w:t>
            </w:r>
          </w:p>
          <w:p w:rsidR="00AF5698" w:rsidRDefault="00CE6909" w:rsidP="00E749F8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E749F8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6E3858">
        <w:trPr>
          <w:trHeight w:val="304"/>
        </w:trPr>
        <w:tc>
          <w:tcPr>
            <w:tcW w:w="569" w:type="dxa"/>
          </w:tcPr>
          <w:p w:rsidR="006E3858" w:rsidRDefault="006E3858" w:rsidP="00E749F8">
            <w:pPr>
              <w:pStyle w:val="TableParagraph"/>
            </w:pPr>
            <w:r>
              <w:t>9</w:t>
            </w:r>
          </w:p>
        </w:tc>
        <w:tc>
          <w:tcPr>
            <w:tcW w:w="1873" w:type="dxa"/>
          </w:tcPr>
          <w:p w:rsidR="006E3858" w:rsidRDefault="006E3858" w:rsidP="006E3858">
            <w:pPr>
              <w:pStyle w:val="TableParagraph"/>
            </w:pPr>
            <w:r>
              <w:t>2025-26</w:t>
            </w:r>
          </w:p>
        </w:tc>
        <w:tc>
          <w:tcPr>
            <w:tcW w:w="1956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SIX</w:t>
            </w:r>
          </w:p>
        </w:tc>
        <w:tc>
          <w:tcPr>
            <w:tcW w:w="1563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FIVE</w:t>
            </w:r>
          </w:p>
        </w:tc>
        <w:tc>
          <w:tcPr>
            <w:tcW w:w="1558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ONE</w:t>
            </w:r>
          </w:p>
        </w:tc>
      </w:tr>
      <w:tr w:rsidR="00000198">
        <w:trPr>
          <w:trHeight w:val="304"/>
        </w:trPr>
        <w:tc>
          <w:tcPr>
            <w:tcW w:w="569" w:type="dxa"/>
          </w:tcPr>
          <w:p w:rsidR="00000198" w:rsidRDefault="00000198" w:rsidP="00000198">
            <w:pPr>
              <w:pStyle w:val="TableParagraph"/>
            </w:pPr>
          </w:p>
        </w:tc>
        <w:tc>
          <w:tcPr>
            <w:tcW w:w="1873" w:type="dxa"/>
          </w:tcPr>
          <w:p w:rsidR="00000198" w:rsidRDefault="00000198" w:rsidP="0000019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SIX</w:t>
            </w:r>
          </w:p>
        </w:tc>
        <w:tc>
          <w:tcPr>
            <w:tcW w:w="1563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FIVE</w:t>
            </w:r>
          </w:p>
        </w:tc>
        <w:tc>
          <w:tcPr>
            <w:tcW w:w="1558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ONE</w:t>
            </w:r>
          </w:p>
        </w:tc>
      </w:tr>
    </w:tbl>
    <w:p w:rsidR="00AF5698" w:rsidRDefault="00AF5698" w:rsidP="005B798F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00198"/>
    <w:rsid w:val="00021FC4"/>
    <w:rsid w:val="00034374"/>
    <w:rsid w:val="00035D16"/>
    <w:rsid w:val="00095742"/>
    <w:rsid w:val="000C400A"/>
    <w:rsid w:val="000E50BC"/>
    <w:rsid w:val="001225EB"/>
    <w:rsid w:val="00132FF6"/>
    <w:rsid w:val="00172E02"/>
    <w:rsid w:val="0018496C"/>
    <w:rsid w:val="002609A6"/>
    <w:rsid w:val="00285740"/>
    <w:rsid w:val="00294F90"/>
    <w:rsid w:val="002B3FFF"/>
    <w:rsid w:val="003230BC"/>
    <w:rsid w:val="003451C0"/>
    <w:rsid w:val="00362181"/>
    <w:rsid w:val="00494DDC"/>
    <w:rsid w:val="00496593"/>
    <w:rsid w:val="004B3B6F"/>
    <w:rsid w:val="00512A8C"/>
    <w:rsid w:val="005A39BC"/>
    <w:rsid w:val="005A683E"/>
    <w:rsid w:val="005B0C3D"/>
    <w:rsid w:val="005B5995"/>
    <w:rsid w:val="005B798F"/>
    <w:rsid w:val="005C0D47"/>
    <w:rsid w:val="006029AD"/>
    <w:rsid w:val="006070E1"/>
    <w:rsid w:val="00631874"/>
    <w:rsid w:val="006636D7"/>
    <w:rsid w:val="00674DB7"/>
    <w:rsid w:val="006B7BCC"/>
    <w:rsid w:val="006D347D"/>
    <w:rsid w:val="006D5319"/>
    <w:rsid w:val="006E3858"/>
    <w:rsid w:val="00714735"/>
    <w:rsid w:val="00726C68"/>
    <w:rsid w:val="00735BAC"/>
    <w:rsid w:val="00736B36"/>
    <w:rsid w:val="00786390"/>
    <w:rsid w:val="007B4A80"/>
    <w:rsid w:val="007D062D"/>
    <w:rsid w:val="008C7675"/>
    <w:rsid w:val="008E0C53"/>
    <w:rsid w:val="00910E77"/>
    <w:rsid w:val="00936203"/>
    <w:rsid w:val="009E76BC"/>
    <w:rsid w:val="00A1765D"/>
    <w:rsid w:val="00A61A41"/>
    <w:rsid w:val="00AE3331"/>
    <w:rsid w:val="00AF5698"/>
    <w:rsid w:val="00B371C8"/>
    <w:rsid w:val="00B52044"/>
    <w:rsid w:val="00B705F7"/>
    <w:rsid w:val="00B722A7"/>
    <w:rsid w:val="00B867C5"/>
    <w:rsid w:val="00BA3DCF"/>
    <w:rsid w:val="00BC566B"/>
    <w:rsid w:val="00C312C7"/>
    <w:rsid w:val="00C55ED5"/>
    <w:rsid w:val="00C633FD"/>
    <w:rsid w:val="00C74A97"/>
    <w:rsid w:val="00CE6909"/>
    <w:rsid w:val="00DB6E9D"/>
    <w:rsid w:val="00E12D02"/>
    <w:rsid w:val="00E204B8"/>
    <w:rsid w:val="00E749F8"/>
    <w:rsid w:val="00F13867"/>
    <w:rsid w:val="00F61934"/>
    <w:rsid w:val="00F87F01"/>
    <w:rsid w:val="00FC143A"/>
    <w:rsid w:val="00FD3C57"/>
    <w:rsid w:val="00FF21A6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95B2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E749F8"/>
    <w:pPr>
      <w:spacing w:line="255" w:lineRule="exact"/>
      <w:ind w:left="110"/>
      <w:jc w:val="center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57</Pages>
  <Words>4614</Words>
  <Characters>26301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30854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74</cp:revision>
  <cp:lastPrinted>2025-11-03T11:58:00Z</cp:lastPrinted>
  <dcterms:created xsi:type="dcterms:W3CDTF">2021-12-16T06:34:00Z</dcterms:created>
  <dcterms:modified xsi:type="dcterms:W3CDTF">2026-07-02T06:07:00Z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